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2C5E" w:rsidRPr="008E2C5E" w:rsidRDefault="008E2C5E" w:rsidP="008E2C5E">
      <w:pPr>
        <w:widowControl/>
        <w:shd w:val="clear" w:color="auto" w:fill="FFFFFF"/>
        <w:spacing w:line="574" w:lineRule="atLeast"/>
        <w:jc w:val="center"/>
        <w:rPr>
          <w:rFonts w:ascii="仿宋_GB2312" w:eastAsia="仿宋_GB2312" w:hAnsi="Calibri" w:cs="宋体"/>
          <w:color w:val="000000"/>
          <w:kern w:val="0"/>
          <w:sz w:val="32"/>
          <w:szCs w:val="32"/>
        </w:rPr>
      </w:pPr>
    </w:p>
    <w:p w:rsidR="008E2C5E" w:rsidRPr="008E2C5E" w:rsidRDefault="008E2C5E" w:rsidP="008E2C5E">
      <w:pPr>
        <w:widowControl/>
        <w:shd w:val="clear" w:color="auto" w:fill="FFFFFF"/>
        <w:spacing w:line="574" w:lineRule="atLeast"/>
        <w:jc w:val="center"/>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宜市发改粮行〔2022〕16号</w:t>
      </w:r>
    </w:p>
    <w:p w:rsidR="008E2C5E" w:rsidRPr="008E2C5E" w:rsidRDefault="008E2C5E" w:rsidP="008E2C5E">
      <w:pPr>
        <w:widowControl/>
        <w:shd w:val="clear" w:color="auto" w:fill="FFFFFF"/>
        <w:spacing w:line="600" w:lineRule="atLeast"/>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 </w:t>
      </w:r>
    </w:p>
    <w:p w:rsidR="008E2C5E" w:rsidRPr="008E2C5E" w:rsidRDefault="008E2C5E" w:rsidP="008E2C5E">
      <w:pPr>
        <w:widowControl/>
        <w:shd w:val="clear" w:color="auto" w:fill="FFFFFF"/>
        <w:spacing w:line="600" w:lineRule="atLeast"/>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各县（市、区）粮食行政管理部门，委直属有关企业：</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《宜春市市级储备粮仓储管理办法》已经宜春市发展和改革委员会党组会议审议通过，现予印发，请严格遵照执行。</w:t>
      </w:r>
    </w:p>
    <w:p w:rsidR="008E2C5E" w:rsidRPr="008E2C5E" w:rsidRDefault="008E2C5E" w:rsidP="008E2C5E">
      <w:pPr>
        <w:widowControl/>
        <w:shd w:val="clear" w:color="auto" w:fill="FFFFFF"/>
        <w:spacing w:line="600" w:lineRule="atLeast"/>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 </w:t>
      </w:r>
    </w:p>
    <w:p w:rsidR="008E2C5E" w:rsidRDefault="008E2C5E" w:rsidP="008E2C5E">
      <w:pPr>
        <w:widowControl/>
        <w:shd w:val="clear" w:color="auto" w:fill="FFFFFF"/>
        <w:ind w:firstLine="5040"/>
        <w:rPr>
          <w:rFonts w:ascii="仿宋_GB2312" w:eastAsia="仿宋_GB2312" w:hAnsi="Calibri" w:cs="宋体"/>
          <w:color w:val="000000"/>
          <w:kern w:val="0"/>
          <w:sz w:val="32"/>
          <w:szCs w:val="32"/>
        </w:rPr>
      </w:pP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 </w:t>
      </w:r>
      <w:r>
        <w:rPr>
          <w:rFonts w:ascii="仿宋_GB2312" w:eastAsia="仿宋_GB2312" w:hAnsi="Calibri" w:cs="宋体" w:hint="eastAsia"/>
          <w:color w:val="000000"/>
          <w:kern w:val="0"/>
          <w:sz w:val="32"/>
          <w:szCs w:val="32"/>
        </w:rPr>
        <w:t xml:space="preserve">                 </w:t>
      </w:r>
    </w:p>
    <w:p w:rsidR="008E2C5E" w:rsidRDefault="008E2C5E" w:rsidP="008E2C5E">
      <w:pPr>
        <w:widowControl/>
        <w:shd w:val="clear" w:color="auto" w:fill="FFFFFF"/>
        <w:ind w:firstLine="50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2022年3月29日</w:t>
      </w:r>
    </w:p>
    <w:p w:rsidR="008E2C5E" w:rsidRPr="008E2C5E" w:rsidRDefault="008E2C5E" w:rsidP="008E2C5E">
      <w:pPr>
        <w:widowControl/>
        <w:shd w:val="clear" w:color="auto" w:fill="FFFFFF"/>
        <w:rPr>
          <w:rFonts w:ascii="微软雅黑" w:eastAsia="微软雅黑" w:hAnsi="微软雅黑" w:cs="宋体"/>
          <w:color w:val="000000"/>
          <w:kern w:val="0"/>
          <w:szCs w:val="21"/>
        </w:rPr>
      </w:pPr>
      <w:r w:rsidRPr="008E2C5E">
        <w:rPr>
          <w:rFonts w:ascii="仿宋_GB2312" w:eastAsia="仿宋_GB2312" w:hAnsi="微软雅黑" w:cs="宋体" w:hint="eastAsia"/>
          <w:color w:val="000000"/>
          <w:kern w:val="0"/>
          <w:sz w:val="32"/>
          <w:szCs w:val="32"/>
        </w:rPr>
        <w:t>（此件公开发布）</w:t>
      </w:r>
    </w:p>
    <w:p w:rsidR="008E2C5E" w:rsidRPr="008E2C5E" w:rsidRDefault="008E2C5E" w:rsidP="008E2C5E">
      <w:pPr>
        <w:widowControl/>
        <w:shd w:val="clear" w:color="auto" w:fill="FFFFFF"/>
        <w:rPr>
          <w:rFonts w:ascii="微软雅黑" w:eastAsia="微软雅黑" w:hAnsi="微软雅黑" w:cs="宋体"/>
          <w:color w:val="000000"/>
          <w:kern w:val="0"/>
          <w:szCs w:val="21"/>
        </w:rPr>
      </w:pPr>
      <w:r w:rsidRPr="008E2C5E">
        <w:rPr>
          <w:rFonts w:ascii="微软雅黑" w:eastAsia="微软雅黑" w:hAnsi="微软雅黑" w:cs="宋体" w:hint="eastAsia"/>
          <w:color w:val="000000"/>
          <w:kern w:val="0"/>
          <w:szCs w:val="21"/>
        </w:rPr>
        <w:t> </w:t>
      </w:r>
    </w:p>
    <w:p w:rsidR="008E2C5E" w:rsidRPr="008E2C5E" w:rsidRDefault="008E2C5E" w:rsidP="008E2C5E">
      <w:pPr>
        <w:widowControl/>
        <w:shd w:val="clear" w:color="auto" w:fill="FFFFFF"/>
        <w:spacing w:line="580" w:lineRule="atLeast"/>
        <w:jc w:val="center"/>
        <w:rPr>
          <w:rFonts w:ascii="Calibri" w:eastAsia="宋体" w:hAnsi="Calibri" w:cs="宋体"/>
          <w:color w:val="000000"/>
          <w:kern w:val="0"/>
          <w:szCs w:val="21"/>
        </w:rPr>
      </w:pPr>
      <w:r w:rsidRPr="008E2C5E">
        <w:rPr>
          <w:rFonts w:ascii="方正小标宋简体" w:eastAsia="方正小标宋简体" w:hAnsi="Calibri" w:cs="宋体" w:hint="eastAsia"/>
          <w:color w:val="000000"/>
          <w:kern w:val="0"/>
          <w:sz w:val="44"/>
          <w:szCs w:val="44"/>
        </w:rPr>
        <w:t>宜春市市级储备粮仓储管理办法</w:t>
      </w:r>
    </w:p>
    <w:p w:rsidR="008E2C5E" w:rsidRPr="008E2C5E" w:rsidRDefault="008E2C5E" w:rsidP="008E2C5E">
      <w:pPr>
        <w:widowControl/>
        <w:shd w:val="clear" w:color="auto" w:fill="FFFFFF"/>
        <w:spacing w:line="580" w:lineRule="atLeast"/>
        <w:jc w:val="center"/>
        <w:rPr>
          <w:rFonts w:ascii="Calibri" w:eastAsia="宋体" w:hAnsi="Calibri" w:cs="宋体"/>
          <w:color w:val="000000"/>
          <w:kern w:val="0"/>
          <w:szCs w:val="21"/>
        </w:rPr>
      </w:pPr>
      <w:r w:rsidRPr="008E2C5E">
        <w:rPr>
          <w:rFonts w:ascii="黑体" w:eastAsia="黑体" w:hAnsi="Calibri" w:cs="宋体" w:hint="eastAsia"/>
          <w:color w:val="000000"/>
          <w:kern w:val="0"/>
          <w:sz w:val="32"/>
          <w:szCs w:val="32"/>
        </w:rPr>
        <w:t> </w:t>
      </w:r>
    </w:p>
    <w:p w:rsidR="008E2C5E" w:rsidRPr="008E2C5E" w:rsidRDefault="008E2C5E" w:rsidP="008E2C5E">
      <w:pPr>
        <w:widowControl/>
        <w:shd w:val="clear" w:color="auto" w:fill="FFFFFF"/>
        <w:spacing w:line="580" w:lineRule="atLeast"/>
        <w:jc w:val="center"/>
        <w:rPr>
          <w:rFonts w:ascii="Calibri" w:eastAsia="宋体" w:hAnsi="Calibri" w:cs="宋体"/>
          <w:color w:val="000000"/>
          <w:kern w:val="0"/>
          <w:szCs w:val="21"/>
        </w:rPr>
      </w:pPr>
      <w:r w:rsidRPr="008E2C5E">
        <w:rPr>
          <w:rFonts w:ascii="黑体" w:eastAsia="黑体" w:hAnsi="Calibri" w:cs="宋体" w:hint="eastAsia"/>
          <w:color w:val="000000"/>
          <w:kern w:val="0"/>
          <w:sz w:val="32"/>
          <w:szCs w:val="32"/>
        </w:rPr>
        <w:t xml:space="preserve">第一章 </w:t>
      </w:r>
      <w:r w:rsidRPr="008E2C5E">
        <w:rPr>
          <w:rFonts w:ascii="黑体" w:eastAsia="黑体" w:hAnsi="Calibri" w:cs="宋体" w:hint="eastAsia"/>
          <w:color w:val="000000"/>
          <w:kern w:val="0"/>
          <w:sz w:val="32"/>
          <w:szCs w:val="32"/>
        </w:rPr>
        <w:t> </w:t>
      </w:r>
      <w:r w:rsidRPr="008E2C5E">
        <w:rPr>
          <w:rFonts w:ascii="黑体" w:eastAsia="黑体" w:hAnsi="Calibri" w:cs="宋体" w:hint="eastAsia"/>
          <w:color w:val="000000"/>
          <w:kern w:val="0"/>
          <w:sz w:val="32"/>
          <w:szCs w:val="32"/>
        </w:rPr>
        <w:t>总　则</w:t>
      </w:r>
    </w:p>
    <w:p w:rsidR="008E2C5E" w:rsidRPr="008E2C5E" w:rsidRDefault="008E2C5E" w:rsidP="008E2C5E">
      <w:pPr>
        <w:widowControl/>
        <w:shd w:val="clear" w:color="auto" w:fill="FFFFFF"/>
        <w:spacing w:line="400" w:lineRule="atLeast"/>
        <w:ind w:firstLine="198"/>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 </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第一条</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为贯彻落实粮食储备体制机制改革精神</w:t>
      </w:r>
      <w:r w:rsidRPr="008E2C5E">
        <w:rPr>
          <w:rFonts w:ascii="仿宋_GB2312" w:eastAsia="仿宋_GB2312" w:hAnsi="Calibri" w:cs="宋体" w:hint="eastAsia"/>
          <w:color w:val="000000"/>
          <w:spacing w:val="8"/>
          <w:kern w:val="0"/>
          <w:sz w:val="32"/>
          <w:szCs w:val="32"/>
        </w:rPr>
        <w:t>，</w:t>
      </w:r>
      <w:r w:rsidRPr="008E2C5E">
        <w:rPr>
          <w:rFonts w:ascii="仿宋_GB2312" w:eastAsia="仿宋_GB2312" w:hAnsi="Calibri" w:cs="宋体" w:hint="eastAsia"/>
          <w:color w:val="000000"/>
          <w:kern w:val="0"/>
          <w:sz w:val="32"/>
          <w:szCs w:val="32"/>
        </w:rPr>
        <w:t>保障市级储备粮安全，提高市级储备粮规范化、专业化、精细化、生态化（以下简称“四化”）管理水平，确保市级储备粮</w:t>
      </w:r>
      <w:r w:rsidRPr="008E2C5E">
        <w:rPr>
          <w:rFonts w:ascii="仿宋_GB2312" w:eastAsia="仿宋_GB2312" w:hAnsi="Calibri" w:cs="宋体" w:hint="eastAsia"/>
          <w:color w:val="000000"/>
          <w:spacing w:val="8"/>
          <w:kern w:val="0"/>
          <w:sz w:val="32"/>
          <w:szCs w:val="32"/>
        </w:rPr>
        <w:t>在仓储环节</w:t>
      </w:r>
      <w:r w:rsidRPr="008E2C5E">
        <w:rPr>
          <w:rFonts w:ascii="仿宋_GB2312" w:eastAsia="仿宋_GB2312" w:hAnsi="Calibri" w:cs="宋体" w:hint="eastAsia"/>
          <w:color w:val="000000"/>
          <w:kern w:val="0"/>
          <w:sz w:val="32"/>
          <w:szCs w:val="32"/>
        </w:rPr>
        <w:t>数量真实、质量良好、储存安全、管理规范，根据《粮食流通管理条例》《粮油仓储管理办法》《政府储备粮食仓储管理</w:t>
      </w:r>
      <w:r w:rsidRPr="008E2C5E">
        <w:rPr>
          <w:rFonts w:ascii="仿宋_GB2312" w:eastAsia="仿宋_GB2312" w:hAnsi="Calibri" w:cs="宋体" w:hint="eastAsia"/>
          <w:color w:val="000000"/>
          <w:kern w:val="0"/>
          <w:sz w:val="32"/>
          <w:szCs w:val="32"/>
        </w:rPr>
        <w:lastRenderedPageBreak/>
        <w:t>办法》《宜春市市级储备粮管理办法》等法规规章和文件要求，结合我市实际，制定本办法。</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本办法所称市级储备粮，是指市人民政府为调节粮食供求、稳定粮食市场、应对重大自然灾害或者其他突发事件等而储备的粮食和食用植物油。</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第二条</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宜春市发展和改革委员会根据事权所属制定市级储备粮仓储管理政策和制度并组织实施，开展业务指导。</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承储企业负责全面落实市级储备粮仓储管理工作。</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第三条</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市级储备粮管理应当做到数量、质量、品种、地点“四落实”，实行专仓（罐）储存、专人保管、专账记载，确保账实相符、账账相符。</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第四条</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承储单位是本办法的执行责任主体，负责所存市级储备粮日常仓储管理，接受宜春市发展和改革委员会的业务指导和监督管理。</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第五条</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承储单位应当遵守并执行相关法律、法规、规章、标准和管理规定，规范市级储备粮仓储管理及相关业务，按照“谁储粮、谁负责，谁坏粮、谁担责”的原则对市级储备粮承担储存安全责任。</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第六条</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承储单位对市级储备粮负有相关信息安全管理及保密责任。</w:t>
      </w:r>
    </w:p>
    <w:p w:rsidR="008E2C5E" w:rsidRPr="008E2C5E" w:rsidRDefault="008E2C5E" w:rsidP="008E2C5E">
      <w:pPr>
        <w:widowControl/>
        <w:shd w:val="clear" w:color="auto" w:fill="FFFFFF"/>
        <w:spacing w:line="400" w:lineRule="atLeast"/>
        <w:ind w:firstLine="198"/>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 </w:t>
      </w:r>
    </w:p>
    <w:p w:rsidR="008E2C5E" w:rsidRPr="008E2C5E" w:rsidRDefault="008E2C5E" w:rsidP="008E2C5E">
      <w:pPr>
        <w:widowControl/>
        <w:shd w:val="clear" w:color="auto" w:fill="FFFFFF"/>
        <w:spacing w:line="600" w:lineRule="atLeast"/>
        <w:jc w:val="center"/>
        <w:rPr>
          <w:rFonts w:ascii="Calibri" w:eastAsia="宋体" w:hAnsi="Calibri" w:cs="宋体"/>
          <w:color w:val="000000"/>
          <w:kern w:val="0"/>
          <w:szCs w:val="21"/>
        </w:rPr>
      </w:pPr>
      <w:r w:rsidRPr="008E2C5E">
        <w:rPr>
          <w:rFonts w:ascii="黑体" w:eastAsia="黑体" w:hAnsi="Calibri" w:cs="宋体" w:hint="eastAsia"/>
          <w:color w:val="000000"/>
          <w:kern w:val="0"/>
          <w:sz w:val="32"/>
          <w:szCs w:val="32"/>
        </w:rPr>
        <w:t>第二章　基本要求</w:t>
      </w:r>
    </w:p>
    <w:p w:rsidR="008E2C5E" w:rsidRPr="008E2C5E" w:rsidRDefault="008E2C5E" w:rsidP="008E2C5E">
      <w:pPr>
        <w:widowControl/>
        <w:shd w:val="clear" w:color="auto" w:fill="FFFFFF"/>
        <w:spacing w:line="400" w:lineRule="atLeast"/>
        <w:ind w:firstLine="198"/>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lastRenderedPageBreak/>
        <w:t> </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第七条</w:t>
      </w:r>
      <w:r w:rsidRPr="008E2C5E">
        <w:rPr>
          <w:rFonts w:ascii="MS Mincho" w:eastAsia="MS Mincho" w:hAnsi="MS Mincho" w:cs="宋体" w:hint="eastAsia"/>
          <w:color w:val="000000"/>
          <w:kern w:val="0"/>
          <w:sz w:val="32"/>
          <w:szCs w:val="32"/>
        </w:rPr>
        <w:t> </w:t>
      </w:r>
      <w:r w:rsidRPr="008E2C5E">
        <w:rPr>
          <w:rFonts w:ascii="仿宋_GB2312" w:eastAsia="仿宋_GB2312" w:hAnsi="Calibri" w:cs="宋体" w:hint="eastAsia"/>
          <w:color w:val="000000"/>
          <w:kern w:val="0"/>
          <w:sz w:val="32"/>
          <w:szCs w:val="32"/>
        </w:rPr>
        <w:t>承储单位应当符合本章所规定的要求，加强对市级储备粮的仓储管理，努力提高市级储备粮“四化”管理水平。</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第八条</w:t>
      </w:r>
      <w:r w:rsidRPr="008E2C5E">
        <w:rPr>
          <w:rFonts w:ascii="MS Mincho" w:eastAsia="MS Mincho" w:hAnsi="MS Mincho" w:cs="宋体" w:hint="eastAsia"/>
          <w:b/>
          <w:bCs/>
          <w:color w:val="000000"/>
          <w:kern w:val="0"/>
          <w:sz w:val="32"/>
          <w:szCs w:val="32"/>
        </w:rPr>
        <w:t> </w:t>
      </w:r>
      <w:r w:rsidRPr="008E2C5E">
        <w:rPr>
          <w:rFonts w:ascii="仿宋_GB2312" w:eastAsia="仿宋_GB2312" w:hAnsi="Calibri" w:cs="宋体" w:hint="eastAsia"/>
          <w:color w:val="000000"/>
          <w:kern w:val="0"/>
          <w:sz w:val="32"/>
          <w:szCs w:val="32"/>
        </w:rPr>
        <w:t>承储单位库区要求：</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一）库区仓（罐）容应达到一定规模：承储粮食类库区有效仓容在5000吨以上，且同一库区内有效仓容不少于3000吨；承储食用植物油库区罐容300吨以上，且同一库区内储存能力不少于200吨（上述均不包括外租仓储容量）。</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（二）库区交通条件至少具备铁路专用线、专用码头或者三级及以上公路中任何一种，与库区距离均不超过1公里。</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（三）库区周边规定范围内没有威胁库存粮食安全的污染源、危险源，不得新设影响市级储备粮正常储存保管的场所和设施。</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（四）库区保持整洁卫生，粮油储存区与办公区、生活区等区域进行有效隔离，地坪应当根据生产需要予以硬化并保持完好，排水设施完善。</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（五）库区防洪标准达到《粮食仓库建设标准》规定的50年一遇的要求。</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（六）库区消防设施设备配置齐全，满足消防需要。</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（七）库区具备基础信息化设施，包括库区网络、视频监控及计算机设备等。</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lastRenderedPageBreak/>
        <w:t>第九条</w:t>
      </w:r>
      <w:r w:rsidRPr="008E2C5E">
        <w:rPr>
          <w:rFonts w:ascii="MS Mincho" w:eastAsia="MS Mincho" w:hAnsi="MS Mincho" w:cs="宋体" w:hint="eastAsia"/>
          <w:b/>
          <w:bCs/>
          <w:color w:val="000000"/>
          <w:kern w:val="0"/>
          <w:sz w:val="32"/>
          <w:szCs w:val="32"/>
        </w:rPr>
        <w:t> </w:t>
      </w:r>
      <w:r w:rsidRPr="008E2C5E">
        <w:rPr>
          <w:rFonts w:ascii="仿宋_GB2312" w:eastAsia="仿宋_GB2312" w:hAnsi="Calibri" w:cs="宋体" w:hint="eastAsia"/>
          <w:color w:val="000000"/>
          <w:kern w:val="0"/>
          <w:sz w:val="32"/>
          <w:szCs w:val="32"/>
        </w:rPr>
        <w:t>承储单位仓房（油罐）要求：</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一）储存市级储备粮的平房仓单仓（廒）的容量不宜小于1000吨，不宜大于8000吨。食用植物油罐单罐的容量不宜小于100吨。对应仓（罐）容规模及单仓（罐）容量，配备可有效实施的储藏保管技术条件和接收发放能力。</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二）储存市级储备粮的仓房（油罐）等存储及附属设施、地理位置和环境条件等应当符合《粮油储藏技术规范》《粮食仓库建设标准》《植物油库建设标准》等规定。仓房（油罐）及其配套设施质量良好、功能完备、安全可靠。</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三）储存市级储备粮的房式仓墙体结构采用砖砌体或者混凝土，浅圆仓、立筒仓等筒式仓的仓壁采用混凝土。其他仓型结构材料宜采用混凝土。简易仓囤（含钢结构散装房式简易仓、钢罩棚、钢筋囤、千吨囤等）、木板墙体仓房、木屋架仓房等储粮设施，钢板筒仓和其他未正式竣工验收的标准仓房（油罐）不得承担市级储备粮储存任务。</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（四）储存市级储备粮的仓房，墙体或者仓壁、仓顶的传热系数应当符合《粮油储藏技术规范》的规定；气密性达到或者比照《粮油储藏平房仓气密性要求》的规定。</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（五）储存市级储备粮的仓房，应当因地制宜配备多参数（多功能）粮情测控、机械通风、制冷控温、有害生物综合防治等技术条件，具备所需技术应用能力。</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lastRenderedPageBreak/>
        <w:t>第十条</w:t>
      </w:r>
      <w:r w:rsidRPr="008E2C5E">
        <w:rPr>
          <w:rFonts w:ascii="MS Mincho" w:eastAsia="MS Mincho" w:hAnsi="MS Mincho" w:cs="宋体" w:hint="eastAsia"/>
          <w:b/>
          <w:bCs/>
          <w:color w:val="000000"/>
          <w:kern w:val="0"/>
          <w:sz w:val="32"/>
          <w:szCs w:val="32"/>
        </w:rPr>
        <w:t> </w:t>
      </w:r>
      <w:r w:rsidRPr="008E2C5E">
        <w:rPr>
          <w:rFonts w:ascii="仿宋_GB2312" w:eastAsia="仿宋_GB2312" w:hAnsi="Calibri" w:cs="宋体" w:hint="eastAsia"/>
          <w:color w:val="000000"/>
          <w:kern w:val="0"/>
          <w:sz w:val="32"/>
          <w:szCs w:val="32"/>
        </w:rPr>
        <w:t>承储单位其他要求：</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（一）应当根据市级储备粮储存保管任务需要，配备经过专业培训，掌握相应知识和技能的仓储管理、质量检验等专业技术人员，且相关人员应为本单位在职职工。</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电工、机修工、锅炉司炉、压力容器和特种设备操作工等特种作业人员，应当持特种作业证书上岗。</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（二）应当遵守粮食质量安全管理相关法律法规、制度和标准规范，具备与承储任务相适应的仪器设备、检验场地，具备粮食常规质量、储存品质及主要食品安全指标检验能力。</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（三）应当具有与粮油储存功能、仓（罐）型、进出仓方式、粮油品种、储存周期等相适应的仓储设备条件，满足市级储备粮收储、轮换、调运等物流要求。</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基本设备应当符合《粮油储藏技术规范》的要求，具有粮食装卸、输送、清理、降尘、计量等设备；具有植物油接发、油泵、计量、排水、防溢等装置。</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（四）应当创造条件支持市级储备粮控温储藏，有能力达到低温或者准低温储藏功效，技术上可实现在正常储存年限的基础上再安全储存1年。</w:t>
      </w:r>
    </w:p>
    <w:p w:rsidR="008E2C5E" w:rsidRPr="008E2C5E" w:rsidRDefault="008E2C5E" w:rsidP="008E2C5E">
      <w:pPr>
        <w:widowControl/>
        <w:shd w:val="clear" w:color="auto" w:fill="FFFFFF"/>
        <w:spacing w:line="400" w:lineRule="atLeast"/>
        <w:ind w:firstLine="198"/>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 </w:t>
      </w:r>
    </w:p>
    <w:p w:rsidR="008E2C5E" w:rsidRPr="008E2C5E" w:rsidRDefault="008E2C5E" w:rsidP="008E2C5E">
      <w:pPr>
        <w:widowControl/>
        <w:shd w:val="clear" w:color="auto" w:fill="FFFFFF"/>
        <w:spacing w:line="600" w:lineRule="atLeast"/>
        <w:jc w:val="center"/>
        <w:rPr>
          <w:rFonts w:ascii="Calibri" w:eastAsia="宋体" w:hAnsi="Calibri" w:cs="宋体"/>
          <w:color w:val="000000"/>
          <w:kern w:val="0"/>
          <w:szCs w:val="21"/>
        </w:rPr>
      </w:pPr>
      <w:r w:rsidRPr="008E2C5E">
        <w:rPr>
          <w:rFonts w:ascii="黑体" w:eastAsia="黑体" w:hAnsi="Calibri" w:cs="宋体" w:hint="eastAsia"/>
          <w:color w:val="000000"/>
          <w:kern w:val="0"/>
          <w:sz w:val="32"/>
          <w:szCs w:val="32"/>
        </w:rPr>
        <w:t>第三章　管理规范</w:t>
      </w:r>
    </w:p>
    <w:p w:rsidR="008E2C5E" w:rsidRPr="008E2C5E" w:rsidRDefault="008E2C5E" w:rsidP="008E2C5E">
      <w:pPr>
        <w:widowControl/>
        <w:shd w:val="clear" w:color="auto" w:fill="FFFFFF"/>
        <w:spacing w:line="400" w:lineRule="atLeast"/>
        <w:ind w:firstLine="198"/>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 </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lastRenderedPageBreak/>
        <w:t>第十一条</w:t>
      </w:r>
      <w:r w:rsidRPr="008E2C5E">
        <w:rPr>
          <w:rFonts w:ascii="MS Mincho" w:eastAsia="MS Mincho" w:hAnsi="MS Mincho" w:cs="宋体" w:hint="eastAsia"/>
          <w:color w:val="000000"/>
          <w:kern w:val="0"/>
          <w:sz w:val="32"/>
          <w:szCs w:val="32"/>
        </w:rPr>
        <w:t> </w:t>
      </w:r>
      <w:r w:rsidRPr="008E2C5E">
        <w:rPr>
          <w:rFonts w:ascii="仿宋_GB2312" w:eastAsia="仿宋_GB2312" w:hAnsi="Calibri" w:cs="宋体" w:hint="eastAsia"/>
          <w:color w:val="000000"/>
          <w:kern w:val="0"/>
          <w:sz w:val="32"/>
          <w:szCs w:val="32"/>
        </w:rPr>
        <w:t>承储单位应当按照市级储备粮“四化”管理要求建立健全市级储备粮仓储管理制度，应用先进的粮油储藏技术和安全管理手段，确保市级储备粮管理规范，储存安全。</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第十二条</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承储单位应当按照规定的质量等级收购市级储备粮粮源，准确计量并制作凭证。应当及时对市级储备粮进行整理并达到储存安全的要求，平仓验收储存品质为宜存，食品安全指标符合国家规定，按照规定记录与收购有关的信息并存档备查。</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第十三条</w:t>
      </w:r>
      <w:r w:rsidRPr="008E2C5E">
        <w:rPr>
          <w:rFonts w:ascii="MS Mincho" w:eastAsia="MS Mincho" w:hAnsi="MS Mincho" w:cs="宋体" w:hint="eastAsia"/>
          <w:color w:val="000000"/>
          <w:kern w:val="0"/>
          <w:sz w:val="32"/>
          <w:szCs w:val="32"/>
        </w:rPr>
        <w:t> </w:t>
      </w:r>
      <w:r w:rsidRPr="008E2C5E">
        <w:rPr>
          <w:rFonts w:ascii="仿宋_GB2312" w:eastAsia="仿宋_GB2312" w:hAnsi="Calibri" w:cs="宋体" w:hint="eastAsia"/>
          <w:color w:val="000000"/>
          <w:kern w:val="0"/>
          <w:sz w:val="32"/>
          <w:szCs w:val="32"/>
        </w:rPr>
        <w:t>承储单位不得超限装粮。平房仓、楼房仓等房式仓储存除稻谷以外的品种时，不得超过设计装粮线；储存粮食密度超过800kg/m</w:t>
      </w:r>
      <w:r w:rsidRPr="008E2C5E">
        <w:rPr>
          <w:rFonts w:ascii="宋体" w:eastAsia="宋体" w:hAnsi="宋体" w:cs="宋体" w:hint="eastAsia"/>
          <w:color w:val="000000"/>
          <w:kern w:val="0"/>
          <w:sz w:val="32"/>
          <w:szCs w:val="32"/>
        </w:rPr>
        <w:t>³</w:t>
      </w:r>
      <w:r w:rsidRPr="008E2C5E">
        <w:rPr>
          <w:rFonts w:ascii="仿宋_GB2312" w:eastAsia="仿宋_GB2312" w:hAnsi="Calibri" w:cs="宋体" w:hint="eastAsia"/>
          <w:color w:val="000000"/>
          <w:kern w:val="0"/>
          <w:sz w:val="32"/>
          <w:szCs w:val="32"/>
        </w:rPr>
        <w:t>的，应当由粮仓设计单位确认最大储存量，粮堆高度亦不得超过设计装粮线。储存稻谷时，粮面与屋盖水平构件之间的净高不得小于1.8米。</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立式植物油罐储油应当考虑膨胀因素，不得超过设计液位高度。</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其他仓（罐）型按照设计要求使用，确保结构和使用安全。</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第十四条</w:t>
      </w:r>
      <w:r w:rsidRPr="008E2C5E">
        <w:rPr>
          <w:rFonts w:ascii="MS Mincho" w:eastAsia="MS Mincho" w:hAnsi="MS Mincho" w:cs="宋体" w:hint="eastAsia"/>
          <w:color w:val="000000"/>
          <w:kern w:val="0"/>
          <w:sz w:val="32"/>
          <w:szCs w:val="32"/>
        </w:rPr>
        <w:t> </w:t>
      </w:r>
      <w:r w:rsidRPr="008E2C5E">
        <w:rPr>
          <w:rFonts w:ascii="仿宋_GB2312" w:eastAsia="仿宋_GB2312" w:hAnsi="Calibri" w:cs="宋体" w:hint="eastAsia"/>
          <w:color w:val="000000"/>
          <w:kern w:val="0"/>
          <w:sz w:val="32"/>
          <w:szCs w:val="32"/>
        </w:rPr>
        <w:t>承储单位应当对市级储备粮实行“专仓储存”，在仓外显著位置悬挂或者喷涂规范的标牌或者标识，标明储粮性质，体现粮权所属。</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第十五条</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市级储备粮入仓前，承储单位应当对目标承储仓房进行空仓验收，查验仓房及相关设施设备是否完好。市级</w:t>
      </w:r>
      <w:r w:rsidRPr="008E2C5E">
        <w:rPr>
          <w:rFonts w:ascii="仿宋_GB2312" w:eastAsia="仿宋_GB2312" w:hAnsi="Calibri" w:cs="宋体" w:hint="eastAsia"/>
          <w:color w:val="000000"/>
          <w:kern w:val="0"/>
          <w:sz w:val="32"/>
          <w:szCs w:val="32"/>
        </w:rPr>
        <w:lastRenderedPageBreak/>
        <w:t>储备粮应当按照不同品种、年份、等级、权属，采用独立仓廒分开储存，不得与其他粮食混存。仓号一经确定，原则上在储粮周期内不得变动。</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第十六条</w:t>
      </w:r>
      <w:r w:rsidRPr="008E2C5E">
        <w:rPr>
          <w:rFonts w:ascii="MS Mincho" w:eastAsia="MS Mincho" w:hAnsi="MS Mincho" w:cs="宋体" w:hint="eastAsia"/>
          <w:color w:val="000000"/>
          <w:kern w:val="0"/>
          <w:sz w:val="32"/>
          <w:szCs w:val="32"/>
        </w:rPr>
        <w:t> </w:t>
      </w:r>
      <w:r w:rsidRPr="008E2C5E">
        <w:rPr>
          <w:rFonts w:ascii="仿宋_GB2312" w:eastAsia="仿宋_GB2312" w:hAnsi="Calibri" w:cs="宋体" w:hint="eastAsia"/>
          <w:color w:val="000000"/>
          <w:kern w:val="0"/>
          <w:sz w:val="32"/>
          <w:szCs w:val="32"/>
        </w:rPr>
        <w:t>承储单位应当在市级储备粮入仓前，指定保管人员专门负责粮油进出仓及保管工作，对相关账卡簿记载内容的完整性、真实性负责，对保管期间粮食的数量、质量、储存安全负责。</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第十七条</w:t>
      </w:r>
      <w:r w:rsidRPr="008E2C5E">
        <w:rPr>
          <w:rFonts w:ascii="MS Mincho" w:eastAsia="MS Mincho" w:hAnsi="MS Mincho" w:cs="宋体" w:hint="eastAsia"/>
          <w:b/>
          <w:bCs/>
          <w:color w:val="000000"/>
          <w:kern w:val="0"/>
          <w:sz w:val="32"/>
          <w:szCs w:val="32"/>
        </w:rPr>
        <w:t> </w:t>
      </w:r>
      <w:r w:rsidRPr="008E2C5E">
        <w:rPr>
          <w:rFonts w:ascii="仿宋_GB2312" w:eastAsia="仿宋_GB2312" w:hAnsi="Calibri" w:cs="宋体" w:hint="eastAsia"/>
          <w:color w:val="000000"/>
          <w:kern w:val="0"/>
          <w:sz w:val="32"/>
          <w:szCs w:val="32"/>
        </w:rPr>
        <w:t>承储单位应当对市级储备粮建立专门的保管账、统计账、会计账，账目记载规范，记账凭证和原始单据保存完好；库存情况发生变化的，应当准确记录、及时更新货位卡和有关账目。</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储存周期结束后，保管总账和分仓保管账应当及时整理归档，存档期不少于6年。</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第十八条</w:t>
      </w:r>
      <w:r w:rsidRPr="008E2C5E">
        <w:rPr>
          <w:rFonts w:ascii="MS Mincho" w:eastAsia="MS Mincho" w:hAnsi="MS Mincho" w:cs="宋体" w:hint="eastAsia"/>
          <w:color w:val="000000"/>
          <w:kern w:val="0"/>
          <w:sz w:val="32"/>
          <w:szCs w:val="32"/>
        </w:rPr>
        <w:t> </w:t>
      </w:r>
      <w:r w:rsidRPr="008E2C5E">
        <w:rPr>
          <w:rFonts w:ascii="仿宋_GB2312" w:eastAsia="仿宋_GB2312" w:hAnsi="Calibri" w:cs="宋体" w:hint="eastAsia"/>
          <w:color w:val="000000"/>
          <w:kern w:val="0"/>
          <w:sz w:val="32"/>
          <w:szCs w:val="32"/>
        </w:rPr>
        <w:t>承储单位应当加强市级储备粮账务管理，做到实物、专卡、保管账“账实相符”，保管账、统计账、会计账“账账相符”。在此基础上，如实向宜春市发展和改革委员会提供购销存数据。</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第十九条</w:t>
      </w:r>
      <w:r w:rsidRPr="008E2C5E">
        <w:rPr>
          <w:rFonts w:ascii="MS Mincho" w:eastAsia="MS Mincho" w:hAnsi="MS Mincho" w:cs="宋体" w:hint="eastAsia"/>
          <w:color w:val="000000"/>
          <w:kern w:val="0"/>
          <w:sz w:val="32"/>
          <w:szCs w:val="32"/>
        </w:rPr>
        <w:t> </w:t>
      </w:r>
      <w:r w:rsidRPr="008E2C5E">
        <w:rPr>
          <w:rFonts w:ascii="仿宋_GB2312" w:eastAsia="仿宋_GB2312" w:hAnsi="Calibri" w:cs="宋体" w:hint="eastAsia"/>
          <w:color w:val="000000"/>
          <w:kern w:val="0"/>
          <w:sz w:val="32"/>
          <w:szCs w:val="32"/>
        </w:rPr>
        <w:t>承储单位应当严格执行市级储备粮计划，确保数量、质量、品种、地点“四落实”。未经宜春市人民政府（或授权管理部门）书面批准同意，不得擅自动用市级储备粮，不</w:t>
      </w:r>
      <w:r w:rsidRPr="008E2C5E">
        <w:rPr>
          <w:rFonts w:ascii="仿宋_GB2312" w:eastAsia="仿宋_GB2312" w:hAnsi="Calibri" w:cs="宋体" w:hint="eastAsia"/>
          <w:color w:val="000000"/>
          <w:kern w:val="0"/>
          <w:sz w:val="32"/>
          <w:szCs w:val="32"/>
        </w:rPr>
        <w:lastRenderedPageBreak/>
        <w:t>得擅自调整质量等级，不得擅自串换品种，不得擅自变更储存库点。</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第二十条</w:t>
      </w:r>
      <w:r w:rsidRPr="008E2C5E">
        <w:rPr>
          <w:rFonts w:ascii="MS Mincho" w:eastAsia="MS Mincho" w:hAnsi="MS Mincho" w:cs="宋体" w:hint="eastAsia"/>
          <w:color w:val="000000"/>
          <w:kern w:val="0"/>
          <w:sz w:val="32"/>
          <w:szCs w:val="32"/>
        </w:rPr>
        <w:t> </w:t>
      </w:r>
      <w:r w:rsidRPr="008E2C5E">
        <w:rPr>
          <w:rFonts w:ascii="仿宋_GB2312" w:eastAsia="仿宋_GB2312" w:hAnsi="Calibri" w:cs="宋体" w:hint="eastAsia"/>
          <w:color w:val="000000"/>
          <w:kern w:val="0"/>
          <w:sz w:val="32"/>
          <w:szCs w:val="32"/>
        </w:rPr>
        <w:t>承储单位应当因地制宜利用自然条件，合理配置先进、适用的技术装备，在市级储备粮储存期间进行温湿度测控，实现储存功效。</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第二十一条</w:t>
      </w:r>
      <w:r w:rsidRPr="008E2C5E">
        <w:rPr>
          <w:rFonts w:ascii="MS Mincho" w:eastAsia="MS Mincho" w:hAnsi="MS Mincho" w:cs="宋体" w:hint="eastAsia"/>
          <w:color w:val="000000"/>
          <w:kern w:val="0"/>
          <w:sz w:val="32"/>
          <w:szCs w:val="32"/>
        </w:rPr>
        <w:t> </w:t>
      </w:r>
      <w:r w:rsidRPr="008E2C5E">
        <w:rPr>
          <w:rFonts w:ascii="仿宋_GB2312" w:eastAsia="仿宋_GB2312" w:hAnsi="Calibri" w:cs="宋体" w:hint="eastAsia"/>
          <w:color w:val="000000"/>
          <w:kern w:val="0"/>
          <w:sz w:val="32"/>
          <w:szCs w:val="32"/>
        </w:rPr>
        <w:t>承储单位应当坚持“以防为主、综合防治”方针，落实储粮有害生物综合防治要求，规范储粮药剂管理和使用，促进用药减量增效，实现市级储备粮绿色生态储存。</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第二十二条</w:t>
      </w:r>
      <w:r w:rsidRPr="008E2C5E">
        <w:rPr>
          <w:rFonts w:ascii="MS Mincho" w:eastAsia="MS Mincho" w:hAnsi="MS Mincho" w:cs="宋体" w:hint="eastAsia"/>
          <w:color w:val="000000"/>
          <w:kern w:val="0"/>
          <w:sz w:val="32"/>
          <w:szCs w:val="32"/>
        </w:rPr>
        <w:t> </w:t>
      </w:r>
      <w:r w:rsidRPr="008E2C5E">
        <w:rPr>
          <w:rFonts w:ascii="仿宋_GB2312" w:eastAsia="仿宋_GB2312" w:hAnsi="Calibri" w:cs="宋体" w:hint="eastAsia"/>
          <w:color w:val="000000"/>
          <w:kern w:val="0"/>
          <w:sz w:val="32"/>
          <w:szCs w:val="32"/>
        </w:rPr>
        <w:t>承储单位应当建立健全仓储管理和技术研发应用投入机制，提升市级储备粮仓储管理效能和科学储粮水平。</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第二十三条</w:t>
      </w:r>
      <w:r w:rsidRPr="008E2C5E">
        <w:rPr>
          <w:rFonts w:ascii="MS Mincho" w:eastAsia="MS Mincho" w:hAnsi="MS Mincho" w:cs="宋体" w:hint="eastAsia"/>
          <w:color w:val="000000"/>
          <w:kern w:val="0"/>
          <w:sz w:val="32"/>
          <w:szCs w:val="32"/>
        </w:rPr>
        <w:t> </w:t>
      </w:r>
      <w:r w:rsidRPr="008E2C5E">
        <w:rPr>
          <w:rFonts w:ascii="仿宋_GB2312" w:eastAsia="仿宋_GB2312" w:hAnsi="Calibri" w:cs="宋体" w:hint="eastAsia"/>
          <w:color w:val="000000"/>
          <w:kern w:val="0"/>
          <w:sz w:val="32"/>
          <w:szCs w:val="32"/>
        </w:rPr>
        <w:t>承储单位应当加强粮库信息化、智能化建设，将市级储备粮业务相关信息纳入全国粮食储备地理信息系统和政府储备库存监管应用系统。日常应保障库区信息系统、信息化设备及网络的正常运行，发生故障及时修复，确保与智慧粮库平台连接畅通。</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第二十四条</w:t>
      </w:r>
      <w:r w:rsidRPr="008E2C5E">
        <w:rPr>
          <w:rFonts w:ascii="MS Mincho" w:eastAsia="MS Mincho" w:hAnsi="MS Mincho" w:cs="宋体" w:hint="eastAsia"/>
          <w:color w:val="000000"/>
          <w:kern w:val="0"/>
          <w:sz w:val="32"/>
          <w:szCs w:val="32"/>
        </w:rPr>
        <w:t> </w:t>
      </w:r>
      <w:r w:rsidRPr="008E2C5E">
        <w:rPr>
          <w:rFonts w:ascii="仿宋_GB2312" w:eastAsia="仿宋_GB2312" w:hAnsi="Calibri" w:cs="宋体" w:hint="eastAsia"/>
          <w:color w:val="000000"/>
          <w:kern w:val="0"/>
          <w:sz w:val="32"/>
          <w:szCs w:val="32"/>
        </w:rPr>
        <w:t>承储企业应当定期检查市级储备粮的仓储管理情况，及时向宜春市发展和改革委员会、宜春市财政局、中国农业发展银行宜春市分行报告。</w:t>
      </w:r>
    </w:p>
    <w:p w:rsidR="008E2C5E" w:rsidRPr="008E2C5E" w:rsidRDefault="008E2C5E" w:rsidP="008E2C5E">
      <w:pPr>
        <w:widowControl/>
        <w:shd w:val="clear" w:color="auto" w:fill="FFFFFF"/>
        <w:spacing w:line="600" w:lineRule="atLeast"/>
        <w:ind w:firstLine="642"/>
        <w:rPr>
          <w:rFonts w:ascii="微软雅黑" w:eastAsia="微软雅黑" w:hAnsi="微软雅黑" w:cs="宋体"/>
          <w:color w:val="000000"/>
          <w:kern w:val="0"/>
          <w:sz w:val="24"/>
          <w:szCs w:val="24"/>
        </w:rPr>
      </w:pPr>
      <w:r w:rsidRPr="008E2C5E">
        <w:rPr>
          <w:rFonts w:ascii="仿宋_GB2312" w:eastAsia="仿宋_GB2312" w:hAnsi="微软雅黑" w:cs="宋体" w:hint="eastAsia"/>
          <w:b/>
          <w:bCs/>
          <w:color w:val="000000"/>
          <w:kern w:val="0"/>
          <w:sz w:val="32"/>
          <w:szCs w:val="32"/>
        </w:rPr>
        <w:t>第二十五条</w:t>
      </w:r>
      <w:r w:rsidRPr="008E2C5E">
        <w:rPr>
          <w:rFonts w:ascii="MS Mincho" w:eastAsia="MS Mincho" w:hAnsi="MS Mincho" w:cs="宋体" w:hint="eastAsia"/>
          <w:color w:val="000000"/>
          <w:kern w:val="0"/>
          <w:sz w:val="32"/>
          <w:szCs w:val="32"/>
        </w:rPr>
        <w:t> </w:t>
      </w:r>
      <w:r w:rsidRPr="008E2C5E">
        <w:rPr>
          <w:rFonts w:ascii="仿宋_GB2312" w:eastAsia="仿宋_GB2312" w:hAnsi="微软雅黑" w:cs="宋体" w:hint="eastAsia"/>
          <w:color w:val="000000"/>
          <w:kern w:val="0"/>
          <w:sz w:val="32"/>
          <w:szCs w:val="32"/>
        </w:rPr>
        <w:t>市级储备粮的定额以内的自然损耗和水分杂质减量由市级财政负担，自然损耗的超定额部分由承储单位负担；因承储单位原因造成市级储备粮的损失，由承储单位负担。</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lastRenderedPageBreak/>
        <w:t>前款规定的市级储备粮的损失、损耗核定的具体办法，由宜春市发展和改革委员会会同宜春市财政局制定。</w:t>
      </w:r>
    </w:p>
    <w:p w:rsidR="008E2C5E" w:rsidRPr="008E2C5E" w:rsidRDefault="008E2C5E" w:rsidP="008E2C5E">
      <w:pPr>
        <w:widowControl/>
        <w:shd w:val="clear" w:color="auto" w:fill="FFFFFF"/>
        <w:spacing w:line="400" w:lineRule="atLeast"/>
        <w:ind w:firstLine="198"/>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 </w:t>
      </w:r>
    </w:p>
    <w:p w:rsidR="008E2C5E" w:rsidRPr="008E2C5E" w:rsidRDefault="008E2C5E" w:rsidP="008E2C5E">
      <w:pPr>
        <w:widowControl/>
        <w:shd w:val="clear" w:color="auto" w:fill="FFFFFF"/>
        <w:spacing w:line="600" w:lineRule="atLeast"/>
        <w:jc w:val="center"/>
        <w:rPr>
          <w:rFonts w:ascii="Calibri" w:eastAsia="宋体" w:hAnsi="Calibri" w:cs="宋体"/>
          <w:color w:val="000000"/>
          <w:kern w:val="0"/>
          <w:szCs w:val="21"/>
        </w:rPr>
      </w:pPr>
      <w:r w:rsidRPr="008E2C5E">
        <w:rPr>
          <w:rFonts w:ascii="黑体" w:eastAsia="黑体" w:hAnsi="Calibri" w:cs="宋体" w:hint="eastAsia"/>
          <w:color w:val="000000"/>
          <w:kern w:val="0"/>
          <w:sz w:val="32"/>
          <w:szCs w:val="32"/>
        </w:rPr>
        <w:t xml:space="preserve">第四章 </w:t>
      </w:r>
      <w:r w:rsidRPr="008E2C5E">
        <w:rPr>
          <w:rFonts w:ascii="黑体" w:eastAsia="黑体" w:hAnsi="Calibri" w:cs="宋体" w:hint="eastAsia"/>
          <w:color w:val="000000"/>
          <w:kern w:val="0"/>
          <w:sz w:val="32"/>
          <w:szCs w:val="32"/>
        </w:rPr>
        <w:t> </w:t>
      </w:r>
      <w:r w:rsidRPr="008E2C5E">
        <w:rPr>
          <w:rFonts w:ascii="黑体" w:eastAsia="黑体" w:hAnsi="Calibri" w:cs="宋体" w:hint="eastAsia"/>
          <w:color w:val="000000"/>
          <w:kern w:val="0"/>
          <w:sz w:val="32"/>
          <w:szCs w:val="32"/>
        </w:rPr>
        <w:t>安全管理</w:t>
      </w:r>
    </w:p>
    <w:p w:rsidR="008E2C5E" w:rsidRPr="008E2C5E" w:rsidRDefault="008E2C5E" w:rsidP="008E2C5E">
      <w:pPr>
        <w:widowControl/>
        <w:shd w:val="clear" w:color="auto" w:fill="FFFFFF"/>
        <w:spacing w:line="400" w:lineRule="atLeast"/>
        <w:ind w:firstLine="198"/>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 </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第二十六条</w:t>
      </w:r>
      <w:r w:rsidRPr="008E2C5E">
        <w:rPr>
          <w:rFonts w:ascii="MS Mincho" w:eastAsia="MS Mincho" w:hAnsi="MS Mincho" w:cs="宋体" w:hint="eastAsia"/>
          <w:color w:val="000000"/>
          <w:kern w:val="0"/>
          <w:sz w:val="32"/>
          <w:szCs w:val="32"/>
        </w:rPr>
        <w:t> </w:t>
      </w:r>
      <w:r w:rsidRPr="008E2C5E">
        <w:rPr>
          <w:rFonts w:ascii="仿宋_GB2312" w:eastAsia="仿宋_GB2312" w:hAnsi="Calibri" w:cs="宋体" w:hint="eastAsia"/>
          <w:color w:val="000000"/>
          <w:kern w:val="0"/>
          <w:sz w:val="32"/>
          <w:szCs w:val="32"/>
        </w:rPr>
        <w:t>承储单位应当遵守安全生产相关法律法规和标准规范，执行《粮油储存安全责任暂行规定》和《粮油安全储存守则》《粮库安全生产守则》等规定，确保储存安全和生产安全。</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第二十七条</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承储单位应当落实安全生产责任制，制定年度安全生产管理工作目标、安全生产事故防控方案和应急预案，配备必要的安全防护设施设备，定期组织安全生产检查，加强干部职工安全生产教育培训。</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第二十八条</w:t>
      </w:r>
      <w:r w:rsidRPr="008E2C5E">
        <w:rPr>
          <w:rFonts w:ascii="MS Mincho" w:eastAsia="MS Mincho" w:hAnsi="MS Mincho" w:cs="宋体" w:hint="eastAsia"/>
          <w:color w:val="000000"/>
          <w:kern w:val="0"/>
          <w:sz w:val="32"/>
          <w:szCs w:val="32"/>
        </w:rPr>
        <w:t> </w:t>
      </w:r>
      <w:r w:rsidRPr="008E2C5E">
        <w:rPr>
          <w:rFonts w:ascii="仿宋_GB2312" w:eastAsia="仿宋_GB2312" w:hAnsi="Calibri" w:cs="宋体" w:hint="eastAsia"/>
          <w:color w:val="000000"/>
          <w:kern w:val="0"/>
          <w:sz w:val="32"/>
          <w:szCs w:val="32"/>
        </w:rPr>
        <w:t>承储单位应当建立和落实市级储备粮粮情定期检查和分析研判制度，做好粮情分析记录并归档备查。出现粮情异常状况应及时处置，防止损失扩大。</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第二十九条</w:t>
      </w:r>
      <w:r w:rsidRPr="008E2C5E">
        <w:rPr>
          <w:rFonts w:ascii="MS Mincho" w:eastAsia="MS Mincho" w:hAnsi="MS Mincho" w:cs="宋体" w:hint="eastAsia"/>
          <w:color w:val="000000"/>
          <w:kern w:val="0"/>
          <w:sz w:val="32"/>
          <w:szCs w:val="32"/>
        </w:rPr>
        <w:t> </w:t>
      </w:r>
      <w:r w:rsidRPr="008E2C5E">
        <w:rPr>
          <w:rFonts w:ascii="仿宋_GB2312" w:eastAsia="仿宋_GB2312" w:hAnsi="Calibri" w:cs="宋体" w:hint="eastAsia"/>
          <w:color w:val="000000"/>
          <w:kern w:val="0"/>
          <w:sz w:val="32"/>
          <w:szCs w:val="32"/>
        </w:rPr>
        <w:t>承储单位应当加强市级储备粮储存期间的管理，发现市级储备粮有数量、质量、储存安全等方面的问题，应当及时有效处置，按照规定报告；超出自身处置能力的，应当及时向宜春市发展和改革委员会报告。</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lastRenderedPageBreak/>
        <w:t>第三十条</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市级储备粮发生安全生产事故的，承储单位应当按照《中华人民共和国安全生产法》等有关法律法规及时进行处理并上报。</w:t>
      </w:r>
    </w:p>
    <w:p w:rsidR="008E2C5E" w:rsidRPr="008E2C5E" w:rsidRDefault="008E2C5E" w:rsidP="008E2C5E">
      <w:pPr>
        <w:widowControl/>
        <w:shd w:val="clear" w:color="auto" w:fill="FFFFFF"/>
        <w:spacing w:line="400" w:lineRule="atLeast"/>
        <w:ind w:firstLine="198"/>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 </w:t>
      </w:r>
    </w:p>
    <w:p w:rsidR="008E2C5E" w:rsidRPr="008E2C5E" w:rsidRDefault="008E2C5E" w:rsidP="008E2C5E">
      <w:pPr>
        <w:widowControl/>
        <w:shd w:val="clear" w:color="auto" w:fill="FFFFFF"/>
        <w:spacing w:line="600" w:lineRule="atLeast"/>
        <w:jc w:val="center"/>
        <w:rPr>
          <w:rFonts w:ascii="Calibri" w:eastAsia="宋体" w:hAnsi="Calibri" w:cs="宋体"/>
          <w:color w:val="000000"/>
          <w:kern w:val="0"/>
          <w:szCs w:val="21"/>
        </w:rPr>
      </w:pPr>
      <w:r w:rsidRPr="008E2C5E">
        <w:rPr>
          <w:rFonts w:ascii="黑体" w:eastAsia="黑体" w:hAnsi="Calibri" w:cs="宋体" w:hint="eastAsia"/>
          <w:color w:val="000000"/>
          <w:kern w:val="0"/>
          <w:sz w:val="32"/>
          <w:szCs w:val="32"/>
        </w:rPr>
        <w:t xml:space="preserve">第五章 </w:t>
      </w:r>
      <w:r w:rsidRPr="008E2C5E">
        <w:rPr>
          <w:rFonts w:ascii="黑体" w:eastAsia="黑体" w:hAnsi="Calibri" w:cs="宋体" w:hint="eastAsia"/>
          <w:color w:val="000000"/>
          <w:kern w:val="0"/>
          <w:sz w:val="32"/>
          <w:szCs w:val="32"/>
        </w:rPr>
        <w:t> </w:t>
      </w:r>
      <w:r w:rsidRPr="008E2C5E">
        <w:rPr>
          <w:rFonts w:ascii="黑体" w:eastAsia="黑体" w:hAnsi="Calibri" w:cs="宋体" w:hint="eastAsia"/>
          <w:color w:val="000000"/>
          <w:kern w:val="0"/>
          <w:sz w:val="32"/>
          <w:szCs w:val="32"/>
        </w:rPr>
        <w:t>附 则</w:t>
      </w:r>
    </w:p>
    <w:p w:rsidR="008E2C5E" w:rsidRPr="008E2C5E" w:rsidRDefault="008E2C5E" w:rsidP="008E2C5E">
      <w:pPr>
        <w:widowControl/>
        <w:shd w:val="clear" w:color="auto" w:fill="FFFFFF"/>
        <w:spacing w:line="400" w:lineRule="atLeast"/>
        <w:ind w:firstLine="198"/>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 </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第三十一条</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本办法所称承储企业，是指受宜春市发展和改革委员会委托，承担市级储备粮储存任务的国有粮食企业。</w:t>
      </w:r>
    </w:p>
    <w:p w:rsidR="008E2C5E" w:rsidRPr="008E2C5E" w:rsidRDefault="008E2C5E" w:rsidP="008E2C5E">
      <w:pPr>
        <w:widowControl/>
        <w:shd w:val="clear" w:color="auto" w:fill="FFFFFF"/>
        <w:spacing w:line="600" w:lineRule="atLeast"/>
        <w:ind w:firstLine="640"/>
        <w:rPr>
          <w:rFonts w:ascii="Calibri" w:eastAsia="宋体" w:hAnsi="Calibri" w:cs="宋体"/>
          <w:color w:val="000000"/>
          <w:kern w:val="0"/>
          <w:szCs w:val="21"/>
        </w:rPr>
      </w:pPr>
      <w:r w:rsidRPr="008E2C5E">
        <w:rPr>
          <w:rFonts w:ascii="仿宋_GB2312" w:eastAsia="仿宋_GB2312" w:hAnsi="Calibri" w:cs="宋体" w:hint="eastAsia"/>
          <w:color w:val="000000"/>
          <w:kern w:val="0"/>
          <w:sz w:val="32"/>
          <w:szCs w:val="32"/>
        </w:rPr>
        <w:t>本办法所称承储单位，是指实际承担市级储备粮储存任务、具有法人资格的企事业单位，包括承储企业及其具体承储库点、《宜春市市级储备粮管理办法》规定的代储企业及其具体承储库点。</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第三十二条</w:t>
      </w:r>
      <w:r w:rsidRPr="008E2C5E">
        <w:rPr>
          <w:rFonts w:ascii="MS Mincho" w:eastAsia="MS Mincho" w:hAnsi="MS Mincho" w:cs="宋体" w:hint="eastAsia"/>
          <w:b/>
          <w:bCs/>
          <w:color w:val="000000"/>
          <w:kern w:val="0"/>
          <w:sz w:val="32"/>
          <w:szCs w:val="32"/>
        </w:rPr>
        <w:t> </w:t>
      </w:r>
      <w:r w:rsidRPr="008E2C5E">
        <w:rPr>
          <w:rFonts w:ascii="仿宋_GB2312" w:eastAsia="仿宋_GB2312" w:hAnsi="Calibri" w:cs="宋体" w:hint="eastAsia"/>
          <w:color w:val="000000"/>
          <w:kern w:val="0"/>
          <w:sz w:val="32"/>
          <w:szCs w:val="32"/>
        </w:rPr>
        <w:t>粮食储存年限以当季收获新粮首次入仓，形成市级储备粮保管货位并建立专卡当月起算。食用植物油以加工后首次入罐，形成市级储备油保管货位并建立专卡当月起算。</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第三十三条</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本办法适用于市级储备粮仓储管理。县（市、区）级储备粮仓储管理办法由各县（市、区）人民政府粮食行政主管部门负责制定。</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第三十四条</w:t>
      </w:r>
      <w:r w:rsidRPr="008E2C5E">
        <w:rPr>
          <w:rFonts w:ascii="MS Mincho" w:eastAsia="MS Mincho" w:hAnsi="MS Mincho" w:cs="宋体" w:hint="eastAsia"/>
          <w:color w:val="000000"/>
          <w:kern w:val="0"/>
          <w:sz w:val="32"/>
          <w:szCs w:val="32"/>
        </w:rPr>
        <w:t> </w:t>
      </w:r>
      <w:r w:rsidRPr="008E2C5E">
        <w:rPr>
          <w:rFonts w:ascii="仿宋_GB2312" w:eastAsia="仿宋_GB2312" w:hAnsi="Calibri" w:cs="宋体" w:hint="eastAsia"/>
          <w:color w:val="000000"/>
          <w:kern w:val="0"/>
          <w:sz w:val="32"/>
          <w:szCs w:val="32"/>
        </w:rPr>
        <w:t>违反本办法规定的，将依据相关法律法规、规章和国家相关规定追究有关单位和个人责任。</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第三十五条</w:t>
      </w:r>
      <w:r w:rsidRPr="008E2C5E">
        <w:rPr>
          <w:rFonts w:ascii="MS Mincho" w:eastAsia="MS Mincho" w:hAnsi="MS Mincho" w:cs="宋体" w:hint="eastAsia"/>
          <w:color w:val="000000"/>
          <w:kern w:val="0"/>
          <w:sz w:val="32"/>
          <w:szCs w:val="32"/>
        </w:rPr>
        <w:t> </w:t>
      </w:r>
      <w:r w:rsidRPr="008E2C5E">
        <w:rPr>
          <w:rFonts w:ascii="仿宋_GB2312" w:eastAsia="仿宋_GB2312" w:hAnsi="Calibri" w:cs="宋体" w:hint="eastAsia"/>
          <w:color w:val="000000"/>
          <w:kern w:val="0"/>
          <w:sz w:val="32"/>
          <w:szCs w:val="32"/>
        </w:rPr>
        <w:t>本办法所称“以上”，包含本数；“以内”不包含本数。</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lastRenderedPageBreak/>
        <w:t>第三十六条</w:t>
      </w:r>
      <w:r w:rsidRPr="008E2C5E">
        <w:rPr>
          <w:rFonts w:ascii="仿宋_GB2312" w:eastAsia="仿宋_GB2312" w:hAnsi="Calibri" w:cs="宋体" w:hint="eastAsia"/>
          <w:color w:val="000000"/>
          <w:kern w:val="0"/>
          <w:sz w:val="32"/>
          <w:szCs w:val="32"/>
        </w:rPr>
        <w:t> </w:t>
      </w:r>
      <w:r w:rsidRPr="008E2C5E">
        <w:rPr>
          <w:rFonts w:ascii="仿宋_GB2312" w:eastAsia="仿宋_GB2312" w:hAnsi="Calibri" w:cs="宋体" w:hint="eastAsia"/>
          <w:color w:val="000000"/>
          <w:kern w:val="0"/>
          <w:sz w:val="32"/>
          <w:szCs w:val="32"/>
        </w:rPr>
        <w:t>本办法未尽事宜，按照法律法规和国家有关规定执行。</w:t>
      </w:r>
    </w:p>
    <w:p w:rsidR="008E2C5E" w:rsidRPr="008E2C5E" w:rsidRDefault="008E2C5E" w:rsidP="008E2C5E">
      <w:pPr>
        <w:widowControl/>
        <w:shd w:val="clear" w:color="auto" w:fill="FFFFFF"/>
        <w:spacing w:line="600" w:lineRule="atLeast"/>
        <w:ind w:firstLine="642"/>
        <w:rPr>
          <w:rFonts w:ascii="Calibri" w:eastAsia="宋体" w:hAnsi="Calibri" w:cs="宋体"/>
          <w:color w:val="000000"/>
          <w:kern w:val="0"/>
          <w:szCs w:val="21"/>
        </w:rPr>
      </w:pPr>
      <w:r w:rsidRPr="008E2C5E">
        <w:rPr>
          <w:rFonts w:ascii="仿宋_GB2312" w:eastAsia="仿宋_GB2312" w:hAnsi="Calibri" w:cs="宋体" w:hint="eastAsia"/>
          <w:b/>
          <w:bCs/>
          <w:color w:val="000000"/>
          <w:kern w:val="0"/>
          <w:sz w:val="32"/>
          <w:szCs w:val="32"/>
        </w:rPr>
        <w:t>第三十七条</w:t>
      </w:r>
      <w:r w:rsidRPr="008E2C5E">
        <w:rPr>
          <w:rFonts w:ascii="MS Mincho" w:eastAsia="MS Mincho" w:hAnsi="MS Mincho" w:cs="宋体" w:hint="eastAsia"/>
          <w:color w:val="000000"/>
          <w:kern w:val="0"/>
          <w:sz w:val="32"/>
          <w:szCs w:val="32"/>
        </w:rPr>
        <w:t> </w:t>
      </w:r>
      <w:r w:rsidRPr="008E2C5E">
        <w:rPr>
          <w:rFonts w:ascii="仿宋_GB2312" w:eastAsia="仿宋_GB2312" w:hAnsi="Calibri" w:cs="宋体" w:hint="eastAsia"/>
          <w:color w:val="000000"/>
          <w:kern w:val="0"/>
          <w:sz w:val="32"/>
          <w:szCs w:val="32"/>
        </w:rPr>
        <w:t>本办法由宜春市发展和改革委员会负责解释。</w:t>
      </w:r>
    </w:p>
    <w:p w:rsidR="008E2C5E" w:rsidRPr="008E2C5E" w:rsidRDefault="008E2C5E" w:rsidP="008E2C5E">
      <w:pPr>
        <w:widowControl/>
        <w:shd w:val="clear" w:color="auto" w:fill="FFFFFF"/>
        <w:spacing w:line="600" w:lineRule="atLeast"/>
        <w:ind w:firstLine="629"/>
        <w:rPr>
          <w:rFonts w:ascii="微软雅黑" w:eastAsia="微软雅黑" w:hAnsi="微软雅黑" w:cs="宋体"/>
          <w:color w:val="000000"/>
          <w:kern w:val="0"/>
          <w:szCs w:val="21"/>
        </w:rPr>
      </w:pPr>
      <w:r w:rsidRPr="008E2C5E">
        <w:rPr>
          <w:rFonts w:ascii="仿宋_GB2312" w:eastAsia="仿宋_GB2312" w:hAnsi="微软雅黑" w:cs="宋体" w:hint="eastAsia"/>
          <w:b/>
          <w:bCs/>
          <w:color w:val="000000"/>
          <w:kern w:val="0"/>
          <w:sz w:val="32"/>
          <w:szCs w:val="32"/>
        </w:rPr>
        <w:t>第三十八条</w:t>
      </w:r>
      <w:r w:rsidRPr="008E2C5E">
        <w:rPr>
          <w:rFonts w:ascii="MS Mincho" w:eastAsia="MS Mincho" w:hAnsi="MS Mincho" w:cs="宋体" w:hint="eastAsia"/>
          <w:color w:val="000000"/>
          <w:kern w:val="0"/>
          <w:sz w:val="32"/>
          <w:szCs w:val="32"/>
        </w:rPr>
        <w:t> </w:t>
      </w:r>
      <w:r w:rsidRPr="008E2C5E">
        <w:rPr>
          <w:rFonts w:ascii="仿宋_GB2312" w:eastAsia="仿宋_GB2312" w:hAnsi="微软雅黑" w:cs="宋体" w:hint="eastAsia"/>
          <w:color w:val="000000"/>
          <w:kern w:val="0"/>
          <w:sz w:val="32"/>
          <w:szCs w:val="32"/>
        </w:rPr>
        <w:t>本办法自印发之日起30日后施行。</w:t>
      </w:r>
    </w:p>
    <w:p w:rsidR="00E67A90" w:rsidRPr="008E2C5E" w:rsidRDefault="00E67A90"/>
    <w:sectPr w:rsidR="00E67A90" w:rsidRPr="008E2C5E" w:rsidSect="008E2C5E">
      <w:pgSz w:w="11906" w:h="16838"/>
      <w:pgMar w:top="1701" w:right="1701" w:bottom="1701"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3018" w:rsidRDefault="00623018" w:rsidP="00420EC4">
      <w:r>
        <w:separator/>
      </w:r>
    </w:p>
  </w:endnote>
  <w:endnote w:type="continuationSeparator" w:id="1">
    <w:p w:rsidR="00623018" w:rsidRDefault="00623018" w:rsidP="00420EC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3018" w:rsidRDefault="00623018" w:rsidP="00420EC4">
      <w:r>
        <w:separator/>
      </w:r>
    </w:p>
  </w:footnote>
  <w:footnote w:type="continuationSeparator" w:id="1">
    <w:p w:rsidR="00623018" w:rsidRDefault="00623018" w:rsidP="00420EC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E2C5E"/>
    <w:rsid w:val="00420EC4"/>
    <w:rsid w:val="006065DF"/>
    <w:rsid w:val="00623018"/>
    <w:rsid w:val="0067437D"/>
    <w:rsid w:val="00831734"/>
    <w:rsid w:val="008E2C5E"/>
    <w:rsid w:val="0096658F"/>
    <w:rsid w:val="00C155E1"/>
    <w:rsid w:val="00C97652"/>
    <w:rsid w:val="00E67A90"/>
    <w:rsid w:val="00E828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7A90"/>
    <w:pPr>
      <w:widowControl w:val="0"/>
      <w:jc w:val="both"/>
    </w:pPr>
  </w:style>
  <w:style w:type="paragraph" w:styleId="1">
    <w:name w:val="heading 1"/>
    <w:basedOn w:val="a"/>
    <w:link w:val="1Char"/>
    <w:uiPriority w:val="9"/>
    <w:qFormat/>
    <w:rsid w:val="008E2C5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semiHidden/>
    <w:unhideWhenUsed/>
    <w:rsid w:val="008E2C5E"/>
    <w:pPr>
      <w:widowControl/>
      <w:spacing w:before="100" w:beforeAutospacing="1" w:after="100" w:afterAutospacing="1"/>
      <w:jc w:val="left"/>
    </w:pPr>
    <w:rPr>
      <w:rFonts w:ascii="宋体" w:eastAsia="宋体" w:hAnsi="宋体" w:cs="宋体"/>
      <w:kern w:val="0"/>
      <w:sz w:val="24"/>
      <w:szCs w:val="24"/>
    </w:rPr>
  </w:style>
  <w:style w:type="character" w:customStyle="1" w:styleId="Char">
    <w:name w:val="纯文本 Char"/>
    <w:basedOn w:val="a0"/>
    <w:link w:val="a3"/>
    <w:uiPriority w:val="99"/>
    <w:semiHidden/>
    <w:rsid w:val="008E2C5E"/>
    <w:rPr>
      <w:rFonts w:ascii="宋体" w:eastAsia="宋体" w:hAnsi="宋体" w:cs="宋体"/>
      <w:kern w:val="0"/>
      <w:sz w:val="24"/>
      <w:szCs w:val="24"/>
    </w:rPr>
  </w:style>
  <w:style w:type="paragraph" w:customStyle="1" w:styleId="p">
    <w:name w:val="p"/>
    <w:basedOn w:val="a"/>
    <w:rsid w:val="008E2C5E"/>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8E2C5E"/>
    <w:rPr>
      <w:rFonts w:ascii="宋体" w:eastAsia="宋体" w:hAnsi="宋体" w:cs="宋体"/>
      <w:b/>
      <w:bCs/>
      <w:kern w:val="36"/>
      <w:sz w:val="48"/>
      <w:szCs w:val="48"/>
    </w:rPr>
  </w:style>
  <w:style w:type="paragraph" w:styleId="a4">
    <w:name w:val="header"/>
    <w:basedOn w:val="a"/>
    <w:link w:val="Char0"/>
    <w:uiPriority w:val="99"/>
    <w:semiHidden/>
    <w:unhideWhenUsed/>
    <w:rsid w:val="00420EC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420EC4"/>
    <w:rPr>
      <w:sz w:val="18"/>
      <w:szCs w:val="18"/>
    </w:rPr>
  </w:style>
  <w:style w:type="paragraph" w:styleId="a5">
    <w:name w:val="footer"/>
    <w:basedOn w:val="a"/>
    <w:link w:val="Char1"/>
    <w:uiPriority w:val="99"/>
    <w:semiHidden/>
    <w:unhideWhenUsed/>
    <w:rsid w:val="00420EC4"/>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420EC4"/>
    <w:rPr>
      <w:sz w:val="18"/>
      <w:szCs w:val="18"/>
    </w:rPr>
  </w:style>
</w:styles>
</file>

<file path=word/webSettings.xml><?xml version="1.0" encoding="utf-8"?>
<w:webSettings xmlns:r="http://schemas.openxmlformats.org/officeDocument/2006/relationships" xmlns:w="http://schemas.openxmlformats.org/wordprocessingml/2006/main">
  <w:divs>
    <w:div w:id="933125801">
      <w:bodyDiv w:val="1"/>
      <w:marLeft w:val="0"/>
      <w:marRight w:val="0"/>
      <w:marTop w:val="0"/>
      <w:marBottom w:val="0"/>
      <w:divBdr>
        <w:top w:val="none" w:sz="0" w:space="0" w:color="auto"/>
        <w:left w:val="none" w:sz="0" w:space="0" w:color="auto"/>
        <w:bottom w:val="none" w:sz="0" w:space="0" w:color="auto"/>
        <w:right w:val="none" w:sz="0" w:space="0" w:color="auto"/>
      </w:divBdr>
    </w:div>
    <w:div w:id="1395272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11</Pages>
  <Words>674</Words>
  <Characters>3846</Characters>
  <Application>Microsoft Office Word</Application>
  <DocSecurity>0</DocSecurity>
  <Lines>32</Lines>
  <Paragraphs>9</Paragraphs>
  <ScaleCrop>false</ScaleCrop>
  <Company>微软中国</Company>
  <LinksUpToDate>false</LinksUpToDate>
  <CharactersWithSpaces>4511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微软用户</cp:lastModifiedBy>
  <cp:revision>2</cp:revision>
  <dcterms:created xsi:type="dcterms:W3CDTF">2022-04-27T02:53:00Z</dcterms:created>
  <dcterms:modified xsi:type="dcterms:W3CDTF">2022-04-27T03:02:00Z</dcterms:modified>
</cp:coreProperties>
</file>